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6"/>
        <w:tblW w:w="10520" w:type="dxa"/>
        <w:tblLook w:val="04A0"/>
      </w:tblPr>
      <w:tblGrid>
        <w:gridCol w:w="1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6946" w:rsidRPr="0008514E" w:rsidTr="00F96946">
        <w:trPr>
          <w:trHeight w:val="315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2018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2017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2016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мін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сер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D17C3F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м</w:t>
            </w:r>
            <w:bookmarkStart w:id="0" w:name="_GoBack"/>
            <w:bookmarkEnd w:id="0"/>
            <w:r w:rsidR="00F96946"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акс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мін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сер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мін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сер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макс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Укр. мова і літ.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142.0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198.0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Історія України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119.0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197.0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133.0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186.0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Фізика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132.0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186.0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Хімія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125.0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164.0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174.0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Біологія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165.0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136.0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197.0</w:t>
            </w:r>
          </w:p>
        </w:tc>
      </w:tr>
      <w:tr w:rsidR="00F96946" w:rsidRPr="0008514E" w:rsidTr="00F96946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Географія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119.0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142.0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113.0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148.0</w:t>
            </w:r>
          </w:p>
        </w:tc>
      </w:tr>
      <w:tr w:rsidR="00F96946" w:rsidRPr="0008514E" w:rsidTr="00F96946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Англійська 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173.0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119.0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182.0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946" w:rsidRPr="0008514E" w:rsidRDefault="00F96946" w:rsidP="00F96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8514E">
              <w:rPr>
                <w:rFonts w:ascii="Calibri" w:eastAsia="Times New Roman" w:hAnsi="Calibri" w:cs="Calibri"/>
                <w:color w:val="000000"/>
                <w:lang w:eastAsia="uk-UA"/>
              </w:rPr>
              <w:t>193.0</w:t>
            </w:r>
          </w:p>
        </w:tc>
      </w:tr>
    </w:tbl>
    <w:p w:rsidR="0008514E" w:rsidRDefault="0012081E">
      <w:r>
        <w:rPr>
          <w:noProof/>
          <w:lang w:eastAsia="uk-UA"/>
        </w:rPr>
        <w:drawing>
          <wp:inline distT="0" distB="0" distL="0" distR="0">
            <wp:extent cx="5857875" cy="37719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514E" w:rsidRDefault="0008514E"/>
    <w:p w:rsidR="00BE460A" w:rsidRDefault="00BE460A">
      <w:r>
        <w:rPr>
          <w:noProof/>
          <w:lang w:eastAsia="uk-UA"/>
        </w:rPr>
        <w:drawing>
          <wp:inline distT="0" distB="0" distL="0" distR="0">
            <wp:extent cx="5943600" cy="33051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1228" w:rsidRDefault="00E11228">
      <w:r>
        <w:rPr>
          <w:noProof/>
          <w:lang w:eastAsia="uk-UA"/>
        </w:rPr>
        <w:lastRenderedPageBreak/>
        <w:drawing>
          <wp:inline distT="0" distB="0" distL="0" distR="0">
            <wp:extent cx="5857875" cy="3800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6946" w:rsidRDefault="00F96946"/>
    <w:p w:rsidR="00F96946" w:rsidRDefault="00F96946">
      <w:r>
        <w:rPr>
          <w:noProof/>
          <w:lang w:eastAsia="uk-UA"/>
        </w:rPr>
        <w:drawing>
          <wp:inline distT="0" distB="0" distL="0" distR="0">
            <wp:extent cx="5857875" cy="38957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71F" w:rsidRDefault="00F8371F"/>
    <w:p w:rsidR="00F8371F" w:rsidRDefault="00F8371F"/>
    <w:p w:rsidR="00F8371F" w:rsidRDefault="00F8371F"/>
    <w:p w:rsidR="00F8371F" w:rsidRDefault="00F8371F"/>
    <w:p w:rsidR="00F8371F" w:rsidRDefault="00F8371F"/>
    <w:p w:rsidR="00F8371F" w:rsidRDefault="00F8371F">
      <w:r>
        <w:rPr>
          <w:noProof/>
          <w:lang w:eastAsia="uk-UA"/>
        </w:rPr>
        <w:lastRenderedPageBreak/>
        <w:drawing>
          <wp:inline distT="0" distB="0" distL="0" distR="0">
            <wp:extent cx="5857875" cy="3895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371F" w:rsidRDefault="00F8371F"/>
    <w:p w:rsidR="00F8371F" w:rsidRDefault="00F8371F">
      <w:r>
        <w:rPr>
          <w:noProof/>
          <w:lang w:eastAsia="uk-UA"/>
        </w:rPr>
        <w:drawing>
          <wp:inline distT="0" distB="0" distL="0" distR="0">
            <wp:extent cx="5857875" cy="3895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371F" w:rsidRDefault="00F8371F"/>
    <w:p w:rsidR="00F8371F" w:rsidRDefault="00F8371F"/>
    <w:p w:rsidR="00F8371F" w:rsidRDefault="00F8371F"/>
    <w:p w:rsidR="00F8371F" w:rsidRDefault="00F8371F"/>
    <w:p w:rsidR="00F8371F" w:rsidRDefault="00F8371F"/>
    <w:p w:rsidR="00F8371F" w:rsidRDefault="0053339C">
      <w:r>
        <w:rPr>
          <w:noProof/>
          <w:lang w:eastAsia="uk-UA"/>
        </w:rPr>
        <w:lastRenderedPageBreak/>
        <w:drawing>
          <wp:inline distT="0" distB="0" distL="0" distR="0">
            <wp:extent cx="5857875" cy="38957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0A8" w:rsidRDefault="008010A8"/>
    <w:p w:rsidR="008010A8" w:rsidRDefault="008010A8"/>
    <w:p w:rsidR="008010A8" w:rsidRDefault="008010A8"/>
    <w:p w:rsidR="008010A8" w:rsidRDefault="008010A8">
      <w:r>
        <w:rPr>
          <w:noProof/>
          <w:lang w:eastAsia="uk-UA"/>
        </w:rPr>
        <w:drawing>
          <wp:inline distT="0" distB="0" distL="0" distR="0">
            <wp:extent cx="5857875" cy="38957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010A8" w:rsidSect="00E11228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514E"/>
    <w:rsid w:val="0000739D"/>
    <w:rsid w:val="00052B9A"/>
    <w:rsid w:val="0008514E"/>
    <w:rsid w:val="0012081E"/>
    <w:rsid w:val="001E66AB"/>
    <w:rsid w:val="0050250A"/>
    <w:rsid w:val="0053339C"/>
    <w:rsid w:val="0054693F"/>
    <w:rsid w:val="008010A8"/>
    <w:rsid w:val="00853FA0"/>
    <w:rsid w:val="00A43207"/>
    <w:rsid w:val="00BA7844"/>
    <w:rsid w:val="00BE1FCC"/>
    <w:rsid w:val="00BE460A"/>
    <w:rsid w:val="00D10BD6"/>
    <w:rsid w:val="00D16A47"/>
    <w:rsid w:val="00D17C3F"/>
    <w:rsid w:val="00E11228"/>
    <w:rsid w:val="00F8371F"/>
    <w:rsid w:val="00F9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українська мова і література</a:t>
            </a:r>
          </a:p>
        </c:rich>
      </c:tx>
      <c:layout>
        <c:manualLayout>
          <c:xMode val="edge"/>
          <c:yMode val="edge"/>
          <c:x val="0.28531814011053497"/>
          <c:y val="4.7138047138047159E-2"/>
        </c:manualLayout>
      </c:layout>
    </c:title>
    <c:plotArea>
      <c:layout>
        <c:manualLayout>
          <c:layoutTarget val="inner"/>
          <c:xMode val="edge"/>
          <c:yMode val="edge"/>
          <c:x val="6.7068889116133248E-2"/>
          <c:y val="0.16694169877701467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8E-2"/>
                  <c:y val="5.6939501779359407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</c:v>
                </c:pt>
                <c:pt idx="1">
                  <c:v>181.4</c:v>
                </c:pt>
                <c:pt idx="2">
                  <c:v>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3350846468184476E-3"/>
                  <c:y val="6.6429418742585997E-2"/>
                </c:manualLayout>
              </c:layout>
              <c:showVal val="1"/>
            </c:dLbl>
            <c:dLbl>
              <c:idx val="1"/>
              <c:layout>
                <c:manualLayout>
                  <c:x val="-1.4010507880910683E-2"/>
                  <c:y val="0.16132858837485167"/>
                </c:manualLayout>
              </c:layout>
              <c:showVal val="1"/>
            </c:dLbl>
            <c:dLbl>
              <c:idx val="2"/>
              <c:layout>
                <c:manualLayout>
                  <c:x val="-1.4010507880910603E-2"/>
                  <c:y val="0.1138790035587188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175.9</c:v>
                </c:pt>
                <c:pt idx="2">
                  <c:v>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107</c:v>
                </c:pt>
                <c:pt idx="1">
                  <c:v>180</c:v>
                </c:pt>
                <c:pt idx="2">
                  <c:v>198</c:v>
                </c:pt>
              </c:numCache>
            </c:numRef>
          </c:val>
        </c:ser>
        <c:gapWidth val="75"/>
        <c:overlap val="40"/>
        <c:axId val="109712512"/>
        <c:axId val="109710720"/>
      </c:barChart>
      <c:valAx>
        <c:axId val="109710720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09712512"/>
        <c:crosses val="autoZero"/>
        <c:crossBetween val="between"/>
        <c:majorUnit val="20"/>
      </c:valAx>
      <c:catAx>
        <c:axId val="109712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0971072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/>
            </a:pPr>
            <a:r>
              <a:rPr lang="uk-UA"/>
              <a:t>історія України</a:t>
            </a:r>
          </a:p>
        </c:rich>
      </c:tx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1.4957264957264954E-2"/>
                  <c:y val="6.9164265129683031E-2"/>
                </c:manualLayout>
              </c:layout>
              <c:showVal val="1"/>
            </c:dLbl>
            <c:dLbl>
              <c:idx val="1"/>
              <c:layout>
                <c:manualLayout>
                  <c:x val="-1.282051282051282E-2"/>
                  <c:y val="8.0691642651296802E-2"/>
                </c:manualLayout>
              </c:layout>
              <c:showVal val="1"/>
            </c:dLbl>
            <c:dLbl>
              <c:idx val="2"/>
              <c:layout>
                <c:manualLayout>
                  <c:x val="-1.4957264957265114E-2"/>
                  <c:y val="5.379442843419789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</c:v>
                </c:pt>
                <c:pt idx="1">
                  <c:v>154.9</c:v>
                </c:pt>
                <c:pt idx="2">
                  <c:v>176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1.282051282051282E-2"/>
                  <c:y val="0.10758885686839567"/>
                </c:manualLayout>
              </c:layout>
              <c:showVal val="1"/>
            </c:dLbl>
            <c:dLbl>
              <c:idx val="1"/>
              <c:layout>
                <c:manualLayout>
                  <c:x val="-1.0683760683760689E-2"/>
                  <c:y val="0.10758885686839574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6.916426512968303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</c:v>
                </c:pt>
                <c:pt idx="1">
                  <c:v>157.6</c:v>
                </c:pt>
                <c:pt idx="2">
                  <c:v>191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114</c:v>
                </c:pt>
                <c:pt idx="1">
                  <c:v>162.4</c:v>
                </c:pt>
                <c:pt idx="2">
                  <c:v>197</c:v>
                </c:pt>
              </c:numCache>
            </c:numRef>
          </c:val>
        </c:ser>
        <c:gapWidth val="75"/>
        <c:overlap val="40"/>
        <c:axId val="109532288"/>
        <c:axId val="78822784"/>
      </c:barChart>
      <c:valAx>
        <c:axId val="78822784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09532288"/>
        <c:crosses val="autoZero"/>
        <c:crossBetween val="between"/>
        <c:majorUnit val="20"/>
      </c:valAx>
      <c:catAx>
        <c:axId val="109532288"/>
        <c:scaling>
          <c:orientation val="minMax"/>
        </c:scaling>
        <c:axPos val="b"/>
        <c:majorTickMark val="none"/>
        <c:tickLblPos val="nextTo"/>
        <c:crossAx val="7882278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600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математика</a:t>
            </a:r>
          </a:p>
        </c:rich>
      </c:tx>
      <c:layout>
        <c:manualLayout>
          <c:xMode val="edge"/>
          <c:yMode val="edge"/>
          <c:x val="0.37854307235985768"/>
          <c:y val="2.27920227920228E-2"/>
        </c:manualLayout>
      </c:layout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4E-2"/>
                  <c:y val="5.6939501779359393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</c:v>
                </c:pt>
                <c:pt idx="1">
                  <c:v>163.4</c:v>
                </c:pt>
                <c:pt idx="2">
                  <c:v>188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3350846468184472E-3"/>
                  <c:y val="6.6429418742585997E-2"/>
                </c:manualLayout>
              </c:layout>
              <c:showVal val="1"/>
            </c:dLbl>
            <c:dLbl>
              <c:idx val="1"/>
              <c:layout>
                <c:manualLayout>
                  <c:x val="-1.4010507880910683E-2"/>
                  <c:y val="0.16132858837485167"/>
                </c:manualLayout>
              </c:layout>
              <c:showVal val="1"/>
            </c:dLbl>
            <c:dLbl>
              <c:idx val="2"/>
              <c:layout>
                <c:manualLayout>
                  <c:x val="-1.40105078809106E-2"/>
                  <c:y val="0.1138790035587188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179</c:v>
                </c:pt>
                <c:pt idx="1">
                  <c:v>183.8</c:v>
                </c:pt>
                <c:pt idx="2">
                  <c:v>192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170</c:v>
                </c:pt>
                <c:pt idx="1">
                  <c:v>178.8</c:v>
                </c:pt>
                <c:pt idx="2">
                  <c:v>198</c:v>
                </c:pt>
              </c:numCache>
            </c:numRef>
          </c:val>
        </c:ser>
        <c:gapWidth val="75"/>
        <c:overlap val="40"/>
        <c:axId val="109798528"/>
        <c:axId val="109780352"/>
      </c:barChart>
      <c:valAx>
        <c:axId val="109780352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09798528"/>
        <c:crosses val="autoZero"/>
        <c:crossBetween val="between"/>
        <c:majorUnit val="20"/>
      </c:valAx>
      <c:catAx>
        <c:axId val="109798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0978035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фізика</a:t>
            </a:r>
          </a:p>
        </c:rich>
      </c:tx>
      <c:layout>
        <c:manualLayout>
          <c:xMode val="edge"/>
          <c:yMode val="edge"/>
          <c:x val="0.37854307235985768"/>
          <c:y val="2.27920227920228E-2"/>
        </c:manualLayout>
      </c:layout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4E-2"/>
                  <c:y val="5.6939501779359393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159</c:v>
                </c:pt>
                <c:pt idx="1">
                  <c:v>170.7</c:v>
                </c:pt>
                <c:pt idx="2">
                  <c:v>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3350846468184472E-3"/>
                  <c:y val="6.6429418742585997E-2"/>
                </c:manualLayout>
              </c:layout>
              <c:showVal val="1"/>
            </c:dLbl>
            <c:dLbl>
              <c:idx val="1"/>
              <c:layout>
                <c:manualLayout>
                  <c:x val="-9.6744980048225678E-3"/>
                  <c:y val="8.3089027074549696E-2"/>
                </c:manualLayout>
              </c:layout>
              <c:showVal val="1"/>
            </c:dLbl>
            <c:dLbl>
              <c:idx val="2"/>
              <c:layout>
                <c:manualLayout>
                  <c:x val="-1.4010712075624607E-2"/>
                  <c:y val="7.1498886600055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172</c:v>
                </c:pt>
                <c:pt idx="1">
                  <c:v>183</c:v>
                </c:pt>
                <c:pt idx="2">
                  <c:v>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132</c:v>
                </c:pt>
                <c:pt idx="1">
                  <c:v>165.3</c:v>
                </c:pt>
                <c:pt idx="2">
                  <c:v>186</c:v>
                </c:pt>
              </c:numCache>
            </c:numRef>
          </c:val>
        </c:ser>
        <c:gapWidth val="75"/>
        <c:overlap val="40"/>
        <c:axId val="110601344"/>
        <c:axId val="109538688"/>
      </c:barChart>
      <c:valAx>
        <c:axId val="109538688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10601344"/>
        <c:crosses val="autoZero"/>
        <c:crossBetween val="between"/>
        <c:majorUnit val="20"/>
      </c:valAx>
      <c:catAx>
        <c:axId val="110601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0953868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хімія</a:t>
            </a:r>
          </a:p>
        </c:rich>
      </c:tx>
      <c:layout>
        <c:manualLayout>
          <c:xMode val="edge"/>
          <c:yMode val="edge"/>
          <c:x val="0.37854307235985768"/>
          <c:y val="2.27920227920228E-2"/>
        </c:manualLayout>
      </c:layout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4E-2"/>
                  <c:y val="5.6939501779359393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</c:v>
                </c:pt>
                <c:pt idx="1">
                  <c:v>154.30000000000001</c:v>
                </c:pt>
                <c:pt idx="2">
                  <c:v>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3350846468184472E-3"/>
                  <c:y val="6.6429418742585997E-2"/>
                </c:manualLayout>
              </c:layout>
              <c:showVal val="1"/>
            </c:dLbl>
            <c:dLbl>
              <c:idx val="1"/>
              <c:layout>
                <c:manualLayout>
                  <c:x val="-9.6744980048225678E-3"/>
                  <c:y val="8.3089027074549696E-2"/>
                </c:manualLayout>
              </c:layout>
              <c:showVal val="1"/>
            </c:dLbl>
            <c:dLbl>
              <c:idx val="2"/>
              <c:layout>
                <c:manualLayout>
                  <c:x val="-1.4010712075624607E-2"/>
                  <c:y val="7.1498886600055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193</c:v>
                </c:pt>
                <c:pt idx="1">
                  <c:v>193.5</c:v>
                </c:pt>
                <c:pt idx="2">
                  <c:v>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154</c:v>
                </c:pt>
                <c:pt idx="1">
                  <c:v>164</c:v>
                </c:pt>
                <c:pt idx="2">
                  <c:v>174</c:v>
                </c:pt>
              </c:numCache>
            </c:numRef>
          </c:val>
        </c:ser>
        <c:gapWidth val="75"/>
        <c:overlap val="40"/>
        <c:axId val="111867008"/>
        <c:axId val="111824256"/>
      </c:barChart>
      <c:valAx>
        <c:axId val="111824256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11867008"/>
        <c:crosses val="autoZero"/>
        <c:crossBetween val="between"/>
        <c:majorUnit val="20"/>
      </c:valAx>
      <c:catAx>
        <c:axId val="111867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1182425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біологія</a:t>
            </a:r>
          </a:p>
        </c:rich>
      </c:tx>
      <c:layout>
        <c:manualLayout>
          <c:xMode val="edge"/>
          <c:yMode val="edge"/>
          <c:x val="0.37854307235985768"/>
          <c:y val="2.27920227920228E-2"/>
        </c:manualLayout>
      </c:layout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4E-2"/>
                  <c:y val="5.6939501779359393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184.4</c:v>
                </c:pt>
                <c:pt idx="2">
                  <c:v>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8351578003969022E-2"/>
                  <c:y val="6.6429483600613556E-2"/>
                </c:manualLayout>
              </c:layout>
              <c:showVal val="1"/>
            </c:dLbl>
            <c:dLbl>
              <c:idx val="1"/>
              <c:layout>
                <c:manualLayout>
                  <c:x val="-2.051460640590658E-2"/>
                  <c:y val="8.9608994474712711E-2"/>
                </c:manualLayout>
              </c:layout>
              <c:showVal val="1"/>
            </c:dLbl>
            <c:dLbl>
              <c:idx val="2"/>
              <c:layout>
                <c:manualLayout>
                  <c:x val="-1.4010712075624607E-2"/>
                  <c:y val="7.1498886600055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136</c:v>
                </c:pt>
                <c:pt idx="1">
                  <c:v>173.8</c:v>
                </c:pt>
                <c:pt idx="2">
                  <c:v>193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178</c:v>
                </c:pt>
                <c:pt idx="1">
                  <c:v>187.5</c:v>
                </c:pt>
                <c:pt idx="2">
                  <c:v>197</c:v>
                </c:pt>
              </c:numCache>
            </c:numRef>
          </c:val>
        </c:ser>
        <c:gapWidth val="75"/>
        <c:overlap val="40"/>
        <c:axId val="111797376"/>
        <c:axId val="111762816"/>
      </c:barChart>
      <c:valAx>
        <c:axId val="111762816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11797376"/>
        <c:crosses val="autoZero"/>
        <c:crossBetween val="between"/>
        <c:majorUnit val="20"/>
      </c:valAx>
      <c:catAx>
        <c:axId val="111797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1176281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географія</a:t>
            </a:r>
          </a:p>
        </c:rich>
      </c:tx>
      <c:layout>
        <c:manualLayout>
          <c:xMode val="edge"/>
          <c:yMode val="edge"/>
          <c:x val="0.37854307235985768"/>
          <c:y val="2.27920227920228E-2"/>
        </c:manualLayout>
      </c:layout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4E-2"/>
                  <c:y val="5.6939501779359393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142.80000000000001</c:v>
                </c:pt>
                <c:pt idx="2">
                  <c:v>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8351578003969022E-2"/>
                  <c:y val="6.6429483600613556E-2"/>
                </c:manualLayout>
              </c:layout>
              <c:showVal val="1"/>
            </c:dLbl>
            <c:dLbl>
              <c:idx val="1"/>
              <c:layout>
                <c:manualLayout>
                  <c:x val="-2.051460640590658E-2"/>
                  <c:y val="8.9608994474712711E-2"/>
                </c:manualLayout>
              </c:layout>
              <c:showVal val="1"/>
            </c:dLbl>
            <c:dLbl>
              <c:idx val="2"/>
              <c:layout>
                <c:manualLayout>
                  <c:x val="-1.4010712075624607E-2"/>
                  <c:y val="7.1498886600055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142</c:v>
                </c:pt>
                <c:pt idx="1">
                  <c:v>171</c:v>
                </c:pt>
                <c:pt idx="2">
                  <c:v>190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113</c:v>
                </c:pt>
                <c:pt idx="1">
                  <c:v>127</c:v>
                </c:pt>
                <c:pt idx="2">
                  <c:v>148</c:v>
                </c:pt>
              </c:numCache>
            </c:numRef>
          </c:val>
        </c:ser>
        <c:gapWidth val="75"/>
        <c:overlap val="40"/>
        <c:axId val="112305280"/>
        <c:axId val="112278912"/>
      </c:barChart>
      <c:valAx>
        <c:axId val="112278912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12305280"/>
        <c:crosses val="autoZero"/>
        <c:crossBetween val="between"/>
        <c:majorUnit val="20"/>
      </c:valAx>
      <c:catAx>
        <c:axId val="1123052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1227891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англійська</a:t>
            </a:r>
            <a:r>
              <a:rPr lang="uk-UA" sz="1600" baseline="0"/>
              <a:t> мова</a:t>
            </a:r>
            <a:endParaRPr lang="uk-UA" sz="1600"/>
          </a:p>
        </c:rich>
      </c:tx>
      <c:layout>
        <c:manualLayout>
          <c:xMode val="edge"/>
          <c:yMode val="edge"/>
          <c:x val="0.37854307235985768"/>
          <c:y val="2.27920227920228E-2"/>
        </c:manualLayout>
      </c:layout>
    </c:title>
    <c:plotArea>
      <c:layout>
        <c:manualLayout>
          <c:layoutTarget val="inner"/>
          <c:xMode val="edge"/>
          <c:yMode val="edge"/>
          <c:x val="6.7068889116133235E-2"/>
          <c:y val="0.16694169877701462"/>
          <c:w val="0.81547550874322527"/>
          <c:h val="0.7619531468140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0052539404553442E-3"/>
                  <c:y val="7.591933570581251E-2"/>
                </c:manualLayout>
              </c:layout>
              <c:showVal val="1"/>
            </c:dLbl>
            <c:dLbl>
              <c:idx val="1"/>
              <c:layout>
                <c:manualLayout>
                  <c:x val="-1.1675423234092324E-2"/>
                  <c:y val="5.6939501779359393E-2"/>
                </c:manualLayout>
              </c:layout>
              <c:showVal val="1"/>
            </c:dLbl>
            <c:dLbl>
              <c:idx val="2"/>
              <c:layout>
                <c:manualLayout>
                  <c:x val="-2.1015945686298949E-2"/>
                  <c:y val="8.06642941874258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</c:v>
                </c:pt>
                <c:pt idx="1">
                  <c:v>173</c:v>
                </c:pt>
                <c:pt idx="2">
                  <c:v>192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8351578003969022E-2"/>
                  <c:y val="6.6429483600613556E-2"/>
                </c:manualLayout>
              </c:layout>
              <c:showVal val="1"/>
            </c:dLbl>
            <c:dLbl>
              <c:idx val="1"/>
              <c:layout>
                <c:manualLayout>
                  <c:x val="-2.051460640590658E-2"/>
                  <c:y val="8.9608994474712711E-2"/>
                </c:manualLayout>
              </c:layout>
              <c:showVal val="1"/>
            </c:dLbl>
            <c:dLbl>
              <c:idx val="2"/>
              <c:layout>
                <c:manualLayout>
                  <c:x val="-1.4010712075624607E-2"/>
                  <c:y val="7.1498886600055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</c:v>
                </c:pt>
                <c:pt idx="1">
                  <c:v>153.69999999999999</c:v>
                </c:pt>
                <c:pt idx="2">
                  <c:v>182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мін</c:v>
                </c:pt>
                <c:pt idx="1">
                  <c:v>сер</c:v>
                </c:pt>
                <c:pt idx="2">
                  <c:v>макс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122</c:v>
                </c:pt>
                <c:pt idx="1">
                  <c:v>166.8</c:v>
                </c:pt>
                <c:pt idx="2">
                  <c:v>193</c:v>
                </c:pt>
              </c:numCache>
            </c:numRef>
          </c:val>
        </c:ser>
        <c:gapWidth val="75"/>
        <c:overlap val="40"/>
        <c:axId val="109626496"/>
        <c:axId val="109579648"/>
      </c:barChart>
      <c:valAx>
        <c:axId val="109579648"/>
        <c:scaling>
          <c:orientation val="minMax"/>
          <c:max val="200"/>
        </c:scaling>
        <c:axPos val="l"/>
        <c:majorGridlines/>
        <c:numFmt formatCode="General" sourceLinked="1"/>
        <c:majorTickMark val="none"/>
        <c:tickLblPos val="nextTo"/>
        <c:crossAx val="109626496"/>
        <c:crosses val="autoZero"/>
        <c:crossBetween val="between"/>
        <c:majorUnit val="20"/>
      </c:valAx>
      <c:catAx>
        <c:axId val="109626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10957964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6739288270784332"/>
          <c:y val="0.28497570782375625"/>
          <c:w val="0.13044261512765451"/>
          <c:h val="0.49024375942368903"/>
        </c:manualLayout>
      </c:layout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user</cp:lastModifiedBy>
  <cp:revision>2</cp:revision>
  <cp:lastPrinted>2018-09-30T12:17:00Z</cp:lastPrinted>
  <dcterms:created xsi:type="dcterms:W3CDTF">2018-10-02T05:32:00Z</dcterms:created>
  <dcterms:modified xsi:type="dcterms:W3CDTF">2018-10-02T05:32:00Z</dcterms:modified>
</cp:coreProperties>
</file>